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1382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0069-01-2025-005089-98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403,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Брагина Андрея Сергеевича, </w:t>
      </w:r>
      <w:r>
        <w:rPr>
          <w:rStyle w:val="cat-UserDefinedgrp-4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Брагин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 -1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застрах</w:t>
      </w:r>
      <w:r>
        <w:rPr>
          <w:rFonts w:ascii="Times New Roman" w:eastAsia="Times New Roman" w:hAnsi="Times New Roman" w:cs="Times New Roman"/>
        </w:rPr>
        <w:t>ованных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 xml:space="preserve">. В соответствии с вышеназванной нормой данная отчетность должна быть представлена до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Брагин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Брагина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Брагина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3124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3</w:t>
      </w:r>
      <w:r>
        <w:rPr>
          <w:rFonts w:ascii="Times New Roman" w:eastAsia="Times New Roman" w:hAnsi="Times New Roman" w:cs="Times New Roman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настоящей статьи, </w:t>
      </w:r>
      <w:r>
        <w:rPr>
          <w:rFonts w:ascii="Times New Roman" w:eastAsia="Times New Roman" w:hAnsi="Times New Roman" w:cs="Times New Roman"/>
        </w:rPr>
        <w:t>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Брагина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Брагина Андрея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79702700000000301115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</w:t>
      </w:r>
      <w:r>
        <w:rPr>
          <w:rFonts w:ascii="Times New Roman" w:eastAsia="Times New Roman" w:hAnsi="Times New Roman" w:cs="Times New Roman"/>
        </w:rPr>
        <w:t>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1382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